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75" w:rsidRDefault="00890B75" w:rsidP="00890B75">
      <w:pPr>
        <w:ind w:right="283"/>
        <w:jc w:val="center"/>
        <w:rPr>
          <w:b/>
          <w:sz w:val="28"/>
          <w:szCs w:val="28"/>
        </w:rPr>
      </w:pPr>
      <w:r>
        <w:rPr>
          <w:b/>
          <w:sz w:val="28"/>
          <w:szCs w:val="28"/>
        </w:rPr>
        <w:t xml:space="preserve">Zarządzenie nr </w:t>
      </w:r>
      <w:r w:rsidR="003739B7">
        <w:rPr>
          <w:b/>
          <w:sz w:val="28"/>
          <w:szCs w:val="28"/>
        </w:rPr>
        <w:t>293</w:t>
      </w:r>
      <w:r>
        <w:rPr>
          <w:b/>
          <w:sz w:val="28"/>
          <w:szCs w:val="28"/>
        </w:rPr>
        <w:t>/22</w:t>
      </w:r>
    </w:p>
    <w:p w:rsidR="00890B75" w:rsidRDefault="00890B75" w:rsidP="00890B75">
      <w:pPr>
        <w:jc w:val="center"/>
        <w:rPr>
          <w:b/>
          <w:sz w:val="28"/>
          <w:szCs w:val="28"/>
        </w:rPr>
      </w:pPr>
      <w:r>
        <w:rPr>
          <w:b/>
          <w:sz w:val="28"/>
          <w:szCs w:val="28"/>
        </w:rPr>
        <w:t>Burmistrza Myszyńca</w:t>
      </w:r>
    </w:p>
    <w:p w:rsidR="00890B75" w:rsidRDefault="00890B75" w:rsidP="00890B75">
      <w:pPr>
        <w:jc w:val="center"/>
        <w:rPr>
          <w:b/>
          <w:sz w:val="28"/>
          <w:szCs w:val="28"/>
        </w:rPr>
      </w:pPr>
      <w:r>
        <w:rPr>
          <w:b/>
          <w:sz w:val="28"/>
          <w:szCs w:val="28"/>
        </w:rPr>
        <w:t xml:space="preserve">z dnia </w:t>
      </w:r>
      <w:r w:rsidR="003739B7">
        <w:rPr>
          <w:b/>
          <w:sz w:val="28"/>
          <w:szCs w:val="28"/>
        </w:rPr>
        <w:t>19 stycznia</w:t>
      </w:r>
      <w:r>
        <w:rPr>
          <w:b/>
          <w:sz w:val="28"/>
          <w:szCs w:val="28"/>
        </w:rPr>
        <w:t xml:space="preserve"> 2022 r.</w:t>
      </w:r>
    </w:p>
    <w:p w:rsidR="00890B75" w:rsidRDefault="00890B75" w:rsidP="00890B75"/>
    <w:p w:rsidR="00890B75" w:rsidRDefault="00890B75" w:rsidP="00890B75">
      <w:pPr>
        <w:jc w:val="center"/>
        <w:rPr>
          <w:b/>
        </w:rPr>
      </w:pPr>
    </w:p>
    <w:p w:rsidR="00890B75" w:rsidRDefault="00890B75" w:rsidP="00890B75">
      <w:pPr>
        <w:jc w:val="both"/>
        <w:rPr>
          <w:b/>
        </w:rPr>
      </w:pPr>
      <w:r>
        <w:rPr>
          <w:b/>
        </w:rPr>
        <w:t>w sprawie powołania komisji konkursowej do oceny ofert złożonych w otwartym konkursie ofert na wybór realizatora zadania w zakresie ochrony zdrowia – program polityki zdrowotnej pn. „Program polityki zdrowotnej w zakresie rehabilitacji leczniczej mieszkańców gminy Myszyniec na lata 2021-2023” w roku 2022</w:t>
      </w:r>
    </w:p>
    <w:p w:rsidR="00890B75" w:rsidRDefault="00890B75" w:rsidP="00890B75">
      <w:pPr>
        <w:jc w:val="both"/>
        <w:rPr>
          <w:b/>
        </w:rPr>
      </w:pPr>
    </w:p>
    <w:p w:rsidR="00890B75" w:rsidRDefault="00890B75" w:rsidP="00890B75">
      <w:pPr>
        <w:jc w:val="both"/>
      </w:pPr>
    </w:p>
    <w:p w:rsidR="00890B75" w:rsidRDefault="00890B75" w:rsidP="00890B75">
      <w:pPr>
        <w:jc w:val="both"/>
      </w:pPr>
    </w:p>
    <w:p w:rsidR="00890B75" w:rsidRDefault="00890B75" w:rsidP="00890B75">
      <w:pPr>
        <w:jc w:val="both"/>
      </w:pPr>
      <w:r>
        <w:t>Na podstawie art. 48 i art. 48b ustawy z dnia 27 sierpnia 2004 r. o świadczeniach opieki zdrowotnej finansowanych ze środków publicznych (</w:t>
      </w:r>
      <w:proofErr w:type="spellStart"/>
      <w:r>
        <w:t>j.t</w:t>
      </w:r>
      <w:proofErr w:type="spellEnd"/>
      <w:r>
        <w:t xml:space="preserve">. </w:t>
      </w:r>
      <w:proofErr w:type="spellStart"/>
      <w:r>
        <w:t>Dz.U</w:t>
      </w:r>
      <w:proofErr w:type="spellEnd"/>
      <w:r>
        <w:t xml:space="preserve"> z 2021 r. poz. 1285) zarządza się co następuje:</w:t>
      </w:r>
    </w:p>
    <w:p w:rsidR="00890B75" w:rsidRDefault="00890B75" w:rsidP="00890B75">
      <w:pPr>
        <w:jc w:val="both"/>
      </w:pPr>
    </w:p>
    <w:p w:rsidR="00890B75" w:rsidRDefault="00890B75" w:rsidP="00890B75">
      <w:pPr>
        <w:jc w:val="center"/>
        <w:rPr>
          <w:b/>
        </w:rPr>
      </w:pPr>
      <w:r>
        <w:rPr>
          <w:b/>
        </w:rPr>
        <w:t>§ 1.</w:t>
      </w:r>
    </w:p>
    <w:p w:rsidR="00890B75" w:rsidRDefault="00890B75" w:rsidP="00890B75">
      <w:pPr>
        <w:jc w:val="both"/>
      </w:pPr>
    </w:p>
    <w:p w:rsidR="00890B75" w:rsidRDefault="00890B75" w:rsidP="00890B75">
      <w:pPr>
        <w:jc w:val="both"/>
      </w:pPr>
      <w:r>
        <w:t>Powołuje się komisję konkursową w celu opiniowania ofert złożonych w otwartym konkursie ofert na wybór realizatora zadania w zakresie ochrony zdrowia – program polityki zdrowotnej pn.„Program polityki zdrowotnej w zakresie rehabilitacji leczniczej mieszkańców gminy Myszyniec na lata 2021-2023” w roku 2022 w następującym składzie:</w:t>
      </w:r>
    </w:p>
    <w:p w:rsidR="00890B75" w:rsidRDefault="00890B75" w:rsidP="00890B75">
      <w:pPr>
        <w:jc w:val="both"/>
      </w:pPr>
    </w:p>
    <w:p w:rsidR="00890B75" w:rsidRDefault="00890B75" w:rsidP="00890B75">
      <w:pPr>
        <w:pStyle w:val="Akapitzlist"/>
        <w:numPr>
          <w:ilvl w:val="0"/>
          <w:numId w:val="1"/>
        </w:numPr>
        <w:jc w:val="both"/>
      </w:pPr>
      <w:r>
        <w:t>Daniel Walijewski – Sekretarz Gminy- Przewodniczący Komisji</w:t>
      </w:r>
    </w:p>
    <w:p w:rsidR="00890B75" w:rsidRDefault="00890B75" w:rsidP="00890B75">
      <w:pPr>
        <w:pStyle w:val="Akapitzlist"/>
        <w:numPr>
          <w:ilvl w:val="0"/>
          <w:numId w:val="1"/>
        </w:numPr>
        <w:jc w:val="both"/>
      </w:pPr>
      <w:r>
        <w:t>Anna Taradejna – pracownik Urzędu Miejskiego- Członek Komisji</w:t>
      </w:r>
    </w:p>
    <w:p w:rsidR="00890B75" w:rsidRDefault="00890B75" w:rsidP="00890B75">
      <w:pPr>
        <w:pStyle w:val="Akapitzlist"/>
        <w:numPr>
          <w:ilvl w:val="0"/>
          <w:numId w:val="1"/>
        </w:numPr>
        <w:jc w:val="both"/>
      </w:pPr>
      <w:r>
        <w:t>Alina Drzewiecka – pracownik Urzędu Miejskiego- Członek Komisji</w:t>
      </w:r>
    </w:p>
    <w:p w:rsidR="00890B75" w:rsidRDefault="00890B75" w:rsidP="00890B75">
      <w:pPr>
        <w:widowControl/>
        <w:suppressAutoHyphens w:val="0"/>
        <w:jc w:val="both"/>
      </w:pPr>
    </w:p>
    <w:p w:rsidR="00890B75" w:rsidRDefault="00890B75" w:rsidP="00890B75">
      <w:pPr>
        <w:spacing w:before="240" w:line="256" w:lineRule="auto"/>
        <w:jc w:val="center"/>
        <w:rPr>
          <w:b/>
        </w:rPr>
      </w:pPr>
      <w:r>
        <w:rPr>
          <w:b/>
        </w:rPr>
        <w:t>§ 2.</w:t>
      </w:r>
    </w:p>
    <w:p w:rsidR="00890B75" w:rsidRDefault="00890B75" w:rsidP="00890B75">
      <w:pPr>
        <w:spacing w:before="240" w:line="256" w:lineRule="auto"/>
        <w:jc w:val="both"/>
      </w:pPr>
      <w:r>
        <w:t xml:space="preserve">Zadaniem komisji jest analiza i zaopiniowanie ofert złożonych w odpowiedzi na ogłoszenie Burmistrza Myszyńca w sprawie otwartego konkursu ofert na wybór realizatora zadania </w:t>
      </w:r>
      <w:r>
        <w:br/>
        <w:t>w zakresie ochrony zdrowia – program polityki zdrowotnej pn.„Program polityki zdrowotnej w zakresie rehabilitacji leczniczej mieszkańców gminy Myszyniec na lata 2021-2023” w roku 2022</w:t>
      </w:r>
    </w:p>
    <w:p w:rsidR="00890B75" w:rsidRDefault="00890B75" w:rsidP="00890B75">
      <w:pPr>
        <w:spacing w:before="240" w:line="256" w:lineRule="auto"/>
        <w:jc w:val="center"/>
        <w:rPr>
          <w:b/>
        </w:rPr>
      </w:pPr>
      <w:r>
        <w:rPr>
          <w:b/>
        </w:rPr>
        <w:t>§ 3.</w:t>
      </w:r>
    </w:p>
    <w:p w:rsidR="00890B75" w:rsidRDefault="00890B75" w:rsidP="00890B75">
      <w:pPr>
        <w:spacing w:before="240" w:line="256" w:lineRule="auto"/>
        <w:jc w:val="both"/>
      </w:pPr>
      <w:r>
        <w:t>Regulamin pracy komisji określa załącznik nr 1 do zarządzenia.</w:t>
      </w:r>
    </w:p>
    <w:p w:rsidR="00890B75" w:rsidRDefault="00890B75" w:rsidP="00890B75">
      <w:pPr>
        <w:spacing w:before="240"/>
        <w:jc w:val="center"/>
        <w:rPr>
          <w:b/>
        </w:rPr>
      </w:pPr>
      <w:r>
        <w:rPr>
          <w:b/>
        </w:rPr>
        <w:t>§ 4.</w:t>
      </w:r>
    </w:p>
    <w:p w:rsidR="00890B75" w:rsidRDefault="00890B75" w:rsidP="00890B75">
      <w:pPr>
        <w:spacing w:before="240"/>
      </w:pPr>
      <w:r>
        <w:t>Zarządzenie wchodzi w życie z dniem podpisania.</w:t>
      </w:r>
    </w:p>
    <w:p w:rsidR="00890B75" w:rsidRDefault="00890B75" w:rsidP="00890B75">
      <w:pPr>
        <w:widowControl/>
        <w:suppressAutoHyphens w:val="0"/>
        <w:sectPr w:rsidR="00890B75">
          <w:pgSz w:w="11906" w:h="16838"/>
          <w:pgMar w:top="1021" w:right="1416" w:bottom="1418" w:left="1418" w:header="709" w:footer="709" w:gutter="0"/>
          <w:cols w:space="708"/>
        </w:sectPr>
      </w:pPr>
    </w:p>
    <w:p w:rsidR="00890B75" w:rsidRDefault="00890B75" w:rsidP="00890B75">
      <w:pPr>
        <w:ind w:left="4956" w:firstLine="708"/>
      </w:pPr>
      <w:r>
        <w:lastRenderedPageBreak/>
        <w:t>Załącznik Nr 1</w:t>
      </w:r>
    </w:p>
    <w:p w:rsidR="00890B75" w:rsidRDefault="00890B75" w:rsidP="00890B75">
      <w:pPr>
        <w:ind w:left="5664"/>
      </w:pPr>
      <w:r>
        <w:t xml:space="preserve">do zarządzenia Nr </w:t>
      </w:r>
      <w:r w:rsidR="005F1E49">
        <w:t>293</w:t>
      </w:r>
      <w:r>
        <w:t>/22</w:t>
      </w:r>
    </w:p>
    <w:p w:rsidR="00890B75" w:rsidRDefault="00890B75" w:rsidP="00890B75">
      <w:pPr>
        <w:ind w:left="4956" w:firstLine="708"/>
      </w:pPr>
      <w:r>
        <w:t xml:space="preserve">Burmistrza Myszyńca </w:t>
      </w:r>
    </w:p>
    <w:p w:rsidR="00890B75" w:rsidRDefault="00890B75" w:rsidP="00890B75">
      <w:pPr>
        <w:ind w:left="4956" w:firstLine="708"/>
      </w:pPr>
      <w:r>
        <w:t xml:space="preserve">z dnia </w:t>
      </w:r>
      <w:r w:rsidR="005F1E49">
        <w:t>19 stycznia</w:t>
      </w:r>
      <w:r>
        <w:t xml:space="preserve"> 2022 roku</w:t>
      </w:r>
    </w:p>
    <w:p w:rsidR="00890B75" w:rsidRDefault="00890B75" w:rsidP="00890B75">
      <w:pPr>
        <w:ind w:left="4956" w:firstLine="708"/>
      </w:pPr>
    </w:p>
    <w:p w:rsidR="00890B75" w:rsidRDefault="00890B75" w:rsidP="00890B75">
      <w:pPr>
        <w:jc w:val="center"/>
      </w:pPr>
      <w:r>
        <w:t>REGULAMIN PRACY KOMISJI KONKURSOWEJ</w:t>
      </w:r>
    </w:p>
    <w:p w:rsidR="00890B75" w:rsidRDefault="00890B75" w:rsidP="00890B75">
      <w:pPr>
        <w:jc w:val="center"/>
      </w:pPr>
    </w:p>
    <w:p w:rsidR="00890B75" w:rsidRDefault="00890B75" w:rsidP="00890B75">
      <w:pPr>
        <w:jc w:val="center"/>
        <w:rPr>
          <w:b/>
        </w:rPr>
      </w:pPr>
      <w:r>
        <w:rPr>
          <w:b/>
        </w:rPr>
        <w:t>§1.</w:t>
      </w:r>
    </w:p>
    <w:p w:rsidR="00890B75" w:rsidRDefault="00890B75" w:rsidP="00890B75">
      <w:pPr>
        <w:jc w:val="both"/>
      </w:pPr>
      <w:r>
        <w:t>Komisja konkursowa, zwana dalej komisją, obraduje na posiedzeniach zamkniętych, bez udziału oferentów z wyjątkiem czynności:</w:t>
      </w:r>
    </w:p>
    <w:p w:rsidR="00890B75" w:rsidRDefault="00890B75" w:rsidP="00890B75">
      <w:pPr>
        <w:pStyle w:val="Akapitzlist"/>
        <w:numPr>
          <w:ilvl w:val="0"/>
          <w:numId w:val="2"/>
        </w:numPr>
        <w:jc w:val="both"/>
      </w:pPr>
      <w:r>
        <w:t>Stwierdzenia prawidłowości ogłoszenia konkursu oraz liczby otrzymanych ofert,</w:t>
      </w:r>
    </w:p>
    <w:p w:rsidR="00890B75" w:rsidRDefault="00890B75" w:rsidP="00890B75">
      <w:pPr>
        <w:pStyle w:val="Akapitzlist"/>
        <w:numPr>
          <w:ilvl w:val="0"/>
          <w:numId w:val="2"/>
        </w:numPr>
        <w:jc w:val="both"/>
      </w:pPr>
      <w:r>
        <w:t>Otwarcia ofert z kopertami</w:t>
      </w:r>
    </w:p>
    <w:p w:rsidR="00890B75" w:rsidRDefault="00890B75" w:rsidP="00890B75">
      <w:pPr>
        <w:pStyle w:val="Akapitzlist"/>
        <w:numPr>
          <w:ilvl w:val="0"/>
          <w:numId w:val="2"/>
        </w:numPr>
        <w:jc w:val="both"/>
      </w:pPr>
      <w:r>
        <w:t>Ogłoszenia oferentom, które z ofert spełniają warunki określone w ogłoszeniu o konkursie, a które zostały odrzucone.</w:t>
      </w:r>
    </w:p>
    <w:p w:rsidR="00890B75" w:rsidRDefault="00890B75" w:rsidP="00890B75">
      <w:pPr>
        <w:jc w:val="center"/>
        <w:rPr>
          <w:b/>
        </w:rPr>
      </w:pPr>
    </w:p>
    <w:p w:rsidR="00890B75" w:rsidRDefault="00890B75" w:rsidP="00890B75">
      <w:pPr>
        <w:jc w:val="center"/>
        <w:rPr>
          <w:b/>
        </w:rPr>
      </w:pPr>
      <w:r>
        <w:rPr>
          <w:b/>
        </w:rPr>
        <w:t>§2.</w:t>
      </w:r>
    </w:p>
    <w:p w:rsidR="00890B75" w:rsidRDefault="00890B75" w:rsidP="00890B75">
      <w:pPr>
        <w:jc w:val="both"/>
      </w:pPr>
      <w:r>
        <w:t>Komisja w pierwszej kolejności sprawdza oferty pod względem formalnym. Oferty nie spełniające wymogów określonych w ogłoszeniu o konkursie zostaną odrzucone. Komisja może poprosić oferentów o uzupełnienie brakujących informacji.</w:t>
      </w:r>
    </w:p>
    <w:p w:rsidR="00890B75" w:rsidRDefault="00890B75" w:rsidP="00890B75">
      <w:pPr>
        <w:jc w:val="center"/>
        <w:rPr>
          <w:b/>
        </w:rPr>
      </w:pPr>
    </w:p>
    <w:p w:rsidR="00890B75" w:rsidRDefault="00890B75" w:rsidP="00890B75">
      <w:pPr>
        <w:jc w:val="center"/>
        <w:rPr>
          <w:b/>
        </w:rPr>
      </w:pPr>
      <w:r>
        <w:rPr>
          <w:b/>
        </w:rPr>
        <w:t>§3.</w:t>
      </w:r>
    </w:p>
    <w:p w:rsidR="00890B75" w:rsidRDefault="00890B75" w:rsidP="00890B75">
      <w:pPr>
        <w:jc w:val="both"/>
      </w:pPr>
      <w:r>
        <w:t>Komisja przyjmuje do protokołu wyjaśnienia i oświadczenia zgłoszone przez oferentów.</w:t>
      </w:r>
    </w:p>
    <w:p w:rsidR="00890B75" w:rsidRDefault="00890B75" w:rsidP="00890B75">
      <w:pPr>
        <w:jc w:val="center"/>
        <w:rPr>
          <w:b/>
        </w:rPr>
      </w:pPr>
    </w:p>
    <w:p w:rsidR="00890B75" w:rsidRDefault="00890B75" w:rsidP="00890B75">
      <w:pPr>
        <w:jc w:val="center"/>
        <w:rPr>
          <w:b/>
        </w:rPr>
      </w:pPr>
      <w:r>
        <w:rPr>
          <w:b/>
        </w:rPr>
        <w:t>§4.</w:t>
      </w:r>
    </w:p>
    <w:p w:rsidR="00890B75" w:rsidRDefault="00890B75" w:rsidP="00890B75">
      <w:pPr>
        <w:pStyle w:val="Akapitzlist"/>
        <w:numPr>
          <w:ilvl w:val="0"/>
          <w:numId w:val="3"/>
        </w:numPr>
        <w:jc w:val="both"/>
      </w:pPr>
      <w:r>
        <w:t>Posiedzenia komisji prowadzi przewodniczący</w:t>
      </w:r>
    </w:p>
    <w:p w:rsidR="00890B75" w:rsidRDefault="00890B75" w:rsidP="00890B75">
      <w:pPr>
        <w:pStyle w:val="Akapitzlist"/>
        <w:numPr>
          <w:ilvl w:val="0"/>
          <w:numId w:val="3"/>
        </w:numPr>
        <w:jc w:val="both"/>
      </w:pPr>
      <w:r>
        <w:t>Wszystkie decyzje dotyczące przebiegu konkursu komisja podejmuje w głosowaniu jawnym, zwykłą większością głosów.</w:t>
      </w:r>
    </w:p>
    <w:p w:rsidR="00890B75" w:rsidRDefault="00890B75" w:rsidP="00890B75">
      <w:pPr>
        <w:pStyle w:val="Akapitzlist"/>
        <w:jc w:val="both"/>
      </w:pPr>
    </w:p>
    <w:p w:rsidR="00890B75" w:rsidRDefault="00890B75" w:rsidP="00890B75">
      <w:pPr>
        <w:jc w:val="both"/>
      </w:pPr>
    </w:p>
    <w:p w:rsidR="00890B75" w:rsidRDefault="00890B75" w:rsidP="00890B75">
      <w:pPr>
        <w:jc w:val="center"/>
        <w:rPr>
          <w:b/>
        </w:rPr>
      </w:pPr>
      <w:r>
        <w:rPr>
          <w:b/>
        </w:rPr>
        <w:t>§5.</w:t>
      </w:r>
    </w:p>
    <w:p w:rsidR="00890B75" w:rsidRDefault="00890B75" w:rsidP="00890B75">
      <w:pPr>
        <w:jc w:val="both"/>
      </w:pPr>
      <w:r>
        <w:t>Komisja porównuje oferty pod względem:</w:t>
      </w:r>
    </w:p>
    <w:p w:rsidR="00890B75" w:rsidRDefault="00890B75" w:rsidP="00890B75">
      <w:pPr>
        <w:pStyle w:val="Akapitzlist"/>
        <w:numPr>
          <w:ilvl w:val="0"/>
          <w:numId w:val="4"/>
        </w:numPr>
        <w:jc w:val="both"/>
      </w:pPr>
      <w:r>
        <w:t>Proponowanej ceny za usługę,</w:t>
      </w:r>
    </w:p>
    <w:p w:rsidR="00890B75" w:rsidRDefault="00890B75" w:rsidP="00890B75">
      <w:pPr>
        <w:pStyle w:val="Akapitzlist"/>
        <w:numPr>
          <w:ilvl w:val="0"/>
          <w:numId w:val="4"/>
        </w:numPr>
        <w:jc w:val="both"/>
      </w:pPr>
      <w:r>
        <w:t>Zgodności zakresu oferowanych świadczeń zdrowotnych z zakresem wymaganym w ogłoszeniu.</w:t>
      </w:r>
    </w:p>
    <w:p w:rsidR="00890B75" w:rsidRDefault="00890B75" w:rsidP="00890B75">
      <w:pPr>
        <w:jc w:val="center"/>
        <w:rPr>
          <w:b/>
        </w:rPr>
      </w:pPr>
      <w:r>
        <w:rPr>
          <w:b/>
        </w:rPr>
        <w:t>§6.</w:t>
      </w:r>
    </w:p>
    <w:p w:rsidR="00890B75" w:rsidRDefault="00890B75" w:rsidP="00890B75">
      <w:pPr>
        <w:pStyle w:val="Akapitzlist"/>
        <w:numPr>
          <w:ilvl w:val="0"/>
          <w:numId w:val="5"/>
        </w:numPr>
        <w:ind w:left="426" w:firstLine="0"/>
        <w:jc w:val="both"/>
      </w:pPr>
      <w:r>
        <w:t>Punktacja oceny ofert określona została w szczegółowych warunkach konkursu ofert.</w:t>
      </w:r>
    </w:p>
    <w:p w:rsidR="00890B75" w:rsidRDefault="00890B75" w:rsidP="00890B75">
      <w:pPr>
        <w:pStyle w:val="Akapitzlist"/>
        <w:numPr>
          <w:ilvl w:val="0"/>
          <w:numId w:val="5"/>
        </w:numPr>
        <w:ind w:left="426" w:firstLine="0"/>
        <w:jc w:val="both"/>
      </w:pPr>
      <w:r>
        <w:t>Komisja dokonuje oceny i wyboru najkorzystniejszych ofert na podstawie najniższych cen oraz najwyższej liczby punktów uzyskanych za spełnienie dodatkowych kryteriów.</w:t>
      </w:r>
    </w:p>
    <w:p w:rsidR="00890B75" w:rsidRDefault="00890B75" w:rsidP="00890B75">
      <w:pPr>
        <w:pStyle w:val="Akapitzlist"/>
        <w:ind w:left="0"/>
        <w:jc w:val="both"/>
      </w:pPr>
    </w:p>
    <w:p w:rsidR="00890B75" w:rsidRDefault="00890B75" w:rsidP="00890B75">
      <w:pPr>
        <w:pStyle w:val="Akapitzlist"/>
        <w:ind w:left="0"/>
        <w:jc w:val="both"/>
      </w:pPr>
    </w:p>
    <w:p w:rsidR="00890B75" w:rsidRDefault="00890B75" w:rsidP="00890B75">
      <w:pPr>
        <w:jc w:val="center"/>
        <w:rPr>
          <w:b/>
        </w:rPr>
      </w:pPr>
      <w:r>
        <w:rPr>
          <w:b/>
        </w:rPr>
        <w:t>§7.</w:t>
      </w:r>
    </w:p>
    <w:p w:rsidR="00890B75" w:rsidRDefault="00890B75" w:rsidP="00890B75">
      <w:pPr>
        <w:jc w:val="both"/>
      </w:pPr>
      <w:r>
        <w:t>Wyboru ofert komisja dokonuje według następujących zasad:</w:t>
      </w:r>
    </w:p>
    <w:p w:rsidR="00890B75" w:rsidRDefault="00890B75" w:rsidP="00890B75">
      <w:pPr>
        <w:pStyle w:val="Akapitzlist"/>
        <w:numPr>
          <w:ilvl w:val="0"/>
          <w:numId w:val="6"/>
        </w:numPr>
        <w:jc w:val="both"/>
      </w:pPr>
      <w:r>
        <w:t>Komisja typuje do udziału w programie oferty, które uzyskały największą liczbę punktów, nie mniejszą jednak niż 50% maksymalnej liczby punktów dla zadania.</w:t>
      </w:r>
    </w:p>
    <w:p w:rsidR="00890B75" w:rsidRDefault="00890B75" w:rsidP="00890B75">
      <w:pPr>
        <w:pStyle w:val="Akapitzlist"/>
        <w:numPr>
          <w:ilvl w:val="0"/>
          <w:numId w:val="6"/>
        </w:numPr>
        <w:jc w:val="both"/>
      </w:pPr>
      <w:r>
        <w:t>W przypadku wyboru większej liczby ofert, których przyjęcie przekraczałoby zaplanowaną na realizację zadania wysokość środków finansowych, komisja może zaprosić oferentów do dalszych indywidualnych negocjacji mających na celu ustalenie liczby zabiegów możliwych do wykonania przez każdego z wybranych realizatorów zadania.</w:t>
      </w:r>
    </w:p>
    <w:p w:rsidR="00890B75" w:rsidRDefault="00890B75" w:rsidP="00890B75">
      <w:pPr>
        <w:jc w:val="center"/>
        <w:rPr>
          <w:b/>
        </w:rPr>
      </w:pPr>
      <w:r>
        <w:rPr>
          <w:b/>
        </w:rPr>
        <w:t>§8.</w:t>
      </w:r>
    </w:p>
    <w:p w:rsidR="00890B75" w:rsidRDefault="00890B75" w:rsidP="00890B75">
      <w:pPr>
        <w:jc w:val="both"/>
      </w:pPr>
      <w:r>
        <w:lastRenderedPageBreak/>
        <w:t>Po zakończeniu prac komisji, sporządza się protokół, który podpisuje przewodniczący i wszyscy członkowie komisji.</w:t>
      </w:r>
    </w:p>
    <w:p w:rsidR="00890B75" w:rsidRDefault="00890B75" w:rsidP="00890B75">
      <w:pPr>
        <w:jc w:val="center"/>
        <w:rPr>
          <w:b/>
        </w:rPr>
      </w:pPr>
    </w:p>
    <w:p w:rsidR="00890B75" w:rsidRDefault="00890B75" w:rsidP="00890B75">
      <w:pPr>
        <w:jc w:val="center"/>
        <w:rPr>
          <w:b/>
        </w:rPr>
      </w:pPr>
      <w:r>
        <w:rPr>
          <w:b/>
        </w:rPr>
        <w:t>§9.</w:t>
      </w:r>
    </w:p>
    <w:p w:rsidR="00890B75" w:rsidRDefault="00890B75" w:rsidP="00890B75">
      <w:pPr>
        <w:jc w:val="both"/>
      </w:pPr>
      <w:r>
        <w:t>Komisja niezwłocznie zawiadamia oferentów o zakończeniu konkursu i jego wyniku.</w:t>
      </w:r>
    </w:p>
    <w:p w:rsidR="00890B75" w:rsidRDefault="00890B75" w:rsidP="00890B75">
      <w:pPr>
        <w:jc w:val="both"/>
      </w:pPr>
    </w:p>
    <w:p w:rsidR="00890B75" w:rsidRDefault="00890B75" w:rsidP="00890B75">
      <w:pPr>
        <w:jc w:val="center"/>
        <w:rPr>
          <w:b/>
        </w:rPr>
      </w:pPr>
      <w:r>
        <w:rPr>
          <w:b/>
        </w:rPr>
        <w:t>§10.</w:t>
      </w:r>
    </w:p>
    <w:p w:rsidR="00890B75" w:rsidRDefault="00890B75" w:rsidP="00890B75">
      <w:pPr>
        <w:jc w:val="both"/>
      </w:pPr>
      <w:r>
        <w:t>Komisja rozwiązuje się z chwilą rozstrzygnięcia konkursu ofert.</w:t>
      </w:r>
    </w:p>
    <w:p w:rsidR="000845CE" w:rsidRDefault="000845CE"/>
    <w:sectPr w:rsidR="000845CE" w:rsidSect="00084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766E"/>
    <w:multiLevelType w:val="hybridMultilevel"/>
    <w:tmpl w:val="952639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3B73F53"/>
    <w:multiLevelType w:val="hybridMultilevel"/>
    <w:tmpl w:val="53C415F8"/>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6CB3A7B"/>
    <w:multiLevelType w:val="hybridMultilevel"/>
    <w:tmpl w:val="501828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C313E74"/>
    <w:multiLevelType w:val="hybridMultilevel"/>
    <w:tmpl w:val="A93012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D364EF5"/>
    <w:multiLevelType w:val="hybridMultilevel"/>
    <w:tmpl w:val="3894E4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D531AD7"/>
    <w:multiLevelType w:val="hybridMultilevel"/>
    <w:tmpl w:val="FE2EE1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0B75"/>
    <w:rsid w:val="00016E10"/>
    <w:rsid w:val="00070E98"/>
    <w:rsid w:val="000845CE"/>
    <w:rsid w:val="000D5F4B"/>
    <w:rsid w:val="0023030C"/>
    <w:rsid w:val="0025012F"/>
    <w:rsid w:val="002B3213"/>
    <w:rsid w:val="003739B7"/>
    <w:rsid w:val="005F1E49"/>
    <w:rsid w:val="005F552D"/>
    <w:rsid w:val="00690C0D"/>
    <w:rsid w:val="00890B75"/>
    <w:rsid w:val="009410A3"/>
    <w:rsid w:val="00B756AB"/>
    <w:rsid w:val="00BC4EFE"/>
    <w:rsid w:val="00BD4FD2"/>
    <w:rsid w:val="00C17322"/>
    <w:rsid w:val="00C67AA2"/>
    <w:rsid w:val="00DA6458"/>
    <w:rsid w:val="00ED1DCE"/>
    <w:rsid w:val="00F45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B75"/>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0B75"/>
    <w:pPr>
      <w:ind w:left="720"/>
      <w:contextualSpacing/>
    </w:pPr>
  </w:style>
</w:styles>
</file>

<file path=word/webSettings.xml><?xml version="1.0" encoding="utf-8"?>
<w:webSettings xmlns:r="http://schemas.openxmlformats.org/officeDocument/2006/relationships" xmlns:w="http://schemas.openxmlformats.org/wordprocessingml/2006/main">
  <w:divs>
    <w:div w:id="21122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3243</Characters>
  <Application>Microsoft Office Word</Application>
  <DocSecurity>0</DocSecurity>
  <Lines>27</Lines>
  <Paragraphs>7</Paragraphs>
  <ScaleCrop>false</ScaleCrop>
  <Company>Microsoft</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Aneta_Ertman</dc:creator>
  <cp:lastModifiedBy>Aneta_Ertman</cp:lastModifiedBy>
  <cp:revision>6</cp:revision>
  <cp:lastPrinted>2022-01-19T14:06:00Z</cp:lastPrinted>
  <dcterms:created xsi:type="dcterms:W3CDTF">2022-01-17T15:17:00Z</dcterms:created>
  <dcterms:modified xsi:type="dcterms:W3CDTF">2022-01-19T14:06:00Z</dcterms:modified>
</cp:coreProperties>
</file>